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D7B2F">
      <w:pPr>
        <w:pStyle w:val="14"/>
      </w:pPr>
      <w:r>
        <w:rPr>
          <w:rStyle w:val="17"/>
          <w:rFonts w:hint="eastAsia" w:ascii="方正仿宋_GBK" w:hAnsi="方正仿宋_GBK" w:eastAsia="方正仿宋_GBK" w:cs="方正仿宋_GBK"/>
          <w:bCs/>
          <w:szCs w:val="28"/>
        </w:rPr>
        <w:t>附件1：</w:t>
      </w:r>
    </w:p>
    <w:p w14:paraId="6B10153C">
      <w:pPr>
        <w:pStyle w:val="14"/>
        <w:ind w:firstLine="2530" w:firstLineChars="700"/>
      </w:pPr>
      <w:r>
        <w:rPr>
          <w:rStyle w:val="17"/>
          <w:rFonts w:hint="eastAsia" w:ascii="方正小标宋_GBK" w:hAnsi="方正小标宋_GBK" w:eastAsia="方正小标宋_GBK" w:cs="方正小标宋_GBK"/>
          <w:bCs/>
          <w:sz w:val="36"/>
          <w:szCs w:val="36"/>
        </w:rPr>
        <w:t>采购项目需求资料递交目录</w:t>
      </w:r>
    </w:p>
    <w:p w14:paraId="602D5EF3">
      <w:pPr>
        <w:pStyle w:val="14"/>
      </w:pPr>
    </w:p>
    <w:p w14:paraId="2600F89C">
      <w:pPr>
        <w:pStyle w:val="14"/>
      </w:pPr>
      <w:r>
        <w:rPr>
          <w:rFonts w:hint="eastAsia"/>
        </w:rPr>
        <w:t>一、项目报价</w:t>
      </w:r>
    </w:p>
    <w:p w14:paraId="24B61F5B">
      <w:pPr>
        <w:pStyle w:val="14"/>
      </w:pPr>
      <w:r>
        <w:rPr>
          <w:rFonts w:hint="eastAsia"/>
        </w:rPr>
        <w:t>《重庆市公共卫生医疗救治中心X射线安全检查设备报价表》（格式自拟）</w:t>
      </w:r>
    </w:p>
    <w:p w14:paraId="270BCE60">
      <w:pPr>
        <w:pStyle w:val="14"/>
      </w:pPr>
      <w:r>
        <w:rPr>
          <w:rFonts w:hint="eastAsia"/>
        </w:rPr>
        <w:t>二、技术参数</w:t>
      </w:r>
    </w:p>
    <w:p w14:paraId="498D3930">
      <w:pPr>
        <w:pStyle w:val="14"/>
      </w:pPr>
      <w:r>
        <w:rPr>
          <w:rFonts w:hint="eastAsia"/>
        </w:rPr>
        <w:t>服务要求、产品标准等详见附件2。</w:t>
      </w:r>
    </w:p>
    <w:p w14:paraId="648BD709">
      <w:pPr>
        <w:pStyle w:val="14"/>
      </w:pPr>
      <w:r>
        <w:rPr>
          <w:rFonts w:hint="eastAsia"/>
        </w:rPr>
        <w:t>三、资质材料</w:t>
      </w:r>
    </w:p>
    <w:p w14:paraId="357D386C">
      <w:pPr>
        <w:pStyle w:val="14"/>
      </w:pPr>
      <w:r>
        <w:rPr>
          <w:rFonts w:hint="eastAsia"/>
        </w:rPr>
        <w:t>1、营业执照、税务登记证、组织机构代码证复印件（三证合一仅提供营业执照）。</w:t>
      </w:r>
    </w:p>
    <w:p w14:paraId="01E0FF9B">
      <w:pPr>
        <w:pStyle w:val="14"/>
      </w:pPr>
      <w:r>
        <w:rPr>
          <w:rFonts w:hint="eastAsia"/>
        </w:rPr>
        <w:t>2、法定代表人资格证明。</w:t>
      </w:r>
    </w:p>
    <w:p w14:paraId="6EB83240">
      <w:pPr>
        <w:pStyle w:val="14"/>
      </w:pPr>
      <w:r>
        <w:rPr>
          <w:rFonts w:hint="eastAsia"/>
        </w:rPr>
        <w:t>3、法定代表人身份证复印件。</w:t>
      </w:r>
      <w:bookmarkStart w:id="0" w:name="_GoBack"/>
      <w:bookmarkEnd w:id="0"/>
    </w:p>
    <w:p w14:paraId="79ADD8D7">
      <w:pPr>
        <w:pStyle w:val="14"/>
      </w:pPr>
      <w:r>
        <w:rPr>
          <w:rFonts w:hint="eastAsia"/>
        </w:rPr>
        <w:t>4、开户许可证复印件。</w:t>
      </w:r>
    </w:p>
    <w:p w14:paraId="4D23F0BB">
      <w:pPr>
        <w:pStyle w:val="14"/>
      </w:pPr>
      <w:r>
        <w:rPr>
          <w:rFonts w:hint="eastAsia"/>
        </w:rPr>
        <w:t>5、法定代表人授权委托书以及被授权人身份证复印件（若是法定代表人直接参与投标，则不需要提供）。</w:t>
      </w:r>
    </w:p>
    <w:p w14:paraId="500EA7EE">
      <w:pPr>
        <w:pStyle w:val="14"/>
        <w:rPr>
          <w:sz w:val="30"/>
          <w:szCs w:val="30"/>
        </w:rPr>
      </w:pPr>
      <w:r>
        <w:rPr>
          <w:rStyle w:val="17"/>
          <w:rFonts w:hint="eastAsia" w:ascii="方正仿宋_GBK" w:hAnsi="方正仿宋_GBK" w:eastAsia="方正仿宋_GBK" w:cs="方正仿宋_GBK"/>
          <w:bCs/>
          <w:szCs w:val="28"/>
        </w:rPr>
        <w:t>备注：以上采购需求纸质版一套（均需加盖公章）。</w:t>
      </w:r>
    </w:p>
    <w:p w14:paraId="0C616240">
      <w:pPr>
        <w:pStyle w:val="2"/>
      </w:pPr>
    </w:p>
    <w:p w14:paraId="06522E20"/>
    <w:p w14:paraId="5E156226">
      <w:pPr>
        <w:pStyle w:val="2"/>
      </w:pPr>
    </w:p>
    <w:p w14:paraId="2C4005F3"/>
    <w:p w14:paraId="49358771">
      <w:pPr>
        <w:pStyle w:val="2"/>
      </w:pPr>
    </w:p>
    <w:p w14:paraId="0F754C7B"/>
    <w:p w14:paraId="4727C061">
      <w:pPr>
        <w:pStyle w:val="2"/>
      </w:pPr>
    </w:p>
    <w:p w14:paraId="3C30349D"/>
    <w:p w14:paraId="560D15A9">
      <w:pPr>
        <w:pStyle w:val="2"/>
      </w:pPr>
    </w:p>
    <w:p w14:paraId="7CB5B97D"/>
    <w:p w14:paraId="66CA1F54">
      <w:pPr>
        <w:pStyle w:val="2"/>
      </w:pPr>
    </w:p>
    <w:p w14:paraId="693FC4E3"/>
    <w:p w14:paraId="09A7616E">
      <w:pPr>
        <w:pStyle w:val="2"/>
      </w:pPr>
    </w:p>
    <w:p w14:paraId="5CE7523F"/>
    <w:p w14:paraId="408928FC">
      <w:pPr>
        <w:pStyle w:val="2"/>
      </w:pPr>
    </w:p>
    <w:p w14:paraId="5EC4790C"/>
    <w:p w14:paraId="7C543C26">
      <w:pPr>
        <w:pStyle w:val="2"/>
      </w:pPr>
    </w:p>
    <w:p w14:paraId="0AD87C3B"/>
    <w:p w14:paraId="576561AC">
      <w:pPr>
        <w:pStyle w:val="2"/>
      </w:pPr>
    </w:p>
    <w:p w14:paraId="58C50275">
      <w:pPr>
        <w:pStyle w:val="14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Style w:val="17"/>
          <w:rFonts w:hint="eastAsia" w:ascii="宋体" w:hAnsi="宋体" w:cs="宋体"/>
          <w:bCs/>
          <w:szCs w:val="28"/>
        </w:rPr>
        <w:t>附件2</w:t>
      </w:r>
    </w:p>
    <w:p w14:paraId="54EF5E1D">
      <w:pPr>
        <w:pStyle w:val="3"/>
        <w:ind w:firstLine="3335" w:firstLineChars="692"/>
        <w:rPr>
          <w:rFonts w:hint="default"/>
        </w:rPr>
      </w:pPr>
      <w:r>
        <w:t>项目需求</w:t>
      </w:r>
    </w:p>
    <w:p w14:paraId="767D10B7">
      <w:pPr>
        <w:pStyle w:val="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kern w:val="0"/>
        </w:rPr>
        <w:t>项目一览表</w:t>
      </w:r>
    </w:p>
    <w:tbl>
      <w:tblPr>
        <w:tblStyle w:val="1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47"/>
        <w:gridCol w:w="853"/>
        <w:gridCol w:w="943"/>
        <w:gridCol w:w="1165"/>
        <w:gridCol w:w="2275"/>
      </w:tblGrid>
      <w:tr w14:paraId="02A2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71375E8A">
            <w:r>
              <w:rPr>
                <w:rFonts w:hint="eastAsia"/>
              </w:rPr>
              <w:t>产品名称</w:t>
            </w:r>
          </w:p>
        </w:tc>
        <w:tc>
          <w:tcPr>
            <w:tcW w:w="3147" w:type="dxa"/>
            <w:vAlign w:val="center"/>
          </w:tcPr>
          <w:p w14:paraId="47CB518A">
            <w:r>
              <w:rPr>
                <w:rFonts w:hint="eastAsia"/>
              </w:rPr>
              <w:t>规格型号\编码</w:t>
            </w:r>
          </w:p>
        </w:tc>
        <w:tc>
          <w:tcPr>
            <w:tcW w:w="853" w:type="dxa"/>
            <w:vAlign w:val="center"/>
          </w:tcPr>
          <w:p w14:paraId="0C24E046">
            <w:r>
              <w:rPr>
                <w:rFonts w:hint="eastAsia"/>
              </w:rPr>
              <w:t>计量</w:t>
            </w:r>
          </w:p>
          <w:p w14:paraId="21EB9D0C">
            <w:r>
              <w:rPr>
                <w:rFonts w:hint="eastAsia"/>
              </w:rPr>
              <w:t>单位</w:t>
            </w:r>
          </w:p>
        </w:tc>
        <w:tc>
          <w:tcPr>
            <w:tcW w:w="943" w:type="dxa"/>
            <w:vAlign w:val="center"/>
          </w:tcPr>
          <w:p w14:paraId="4F83D2B5">
            <w:r>
              <w:rPr>
                <w:rFonts w:hint="eastAsia"/>
              </w:rPr>
              <w:t>数量</w:t>
            </w:r>
          </w:p>
        </w:tc>
        <w:tc>
          <w:tcPr>
            <w:tcW w:w="1165" w:type="dxa"/>
            <w:vAlign w:val="center"/>
          </w:tcPr>
          <w:p w14:paraId="5923AEA4">
            <w:r>
              <w:t>产地</w:t>
            </w:r>
          </w:p>
        </w:tc>
        <w:tc>
          <w:tcPr>
            <w:tcW w:w="2275" w:type="dxa"/>
          </w:tcPr>
          <w:p w14:paraId="7407A267">
            <w:r>
              <w:rPr>
                <w:rFonts w:hint="eastAsia"/>
              </w:rPr>
              <w:t>备注</w:t>
            </w:r>
          </w:p>
        </w:tc>
      </w:tr>
      <w:tr w14:paraId="153B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4" w:type="dxa"/>
            <w:vAlign w:val="center"/>
          </w:tcPr>
          <w:p w14:paraId="2DFB90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X射线安全检查设备</w:t>
            </w:r>
          </w:p>
        </w:tc>
        <w:tc>
          <w:tcPr>
            <w:tcW w:w="3147" w:type="dxa"/>
            <w:vAlign w:val="center"/>
          </w:tcPr>
          <w:p w14:paraId="2440DB6C">
            <w:r>
              <w:t>1</w:t>
            </w:r>
            <w:r>
              <w:rPr>
                <w:rFonts w:hint="eastAsia"/>
              </w:rPr>
              <w:t>．外形尺寸：≥148</w:t>
            </w:r>
            <w:r>
              <w:t>0</w:t>
            </w:r>
            <w:r>
              <w:rPr>
                <w:rFonts w:hint="eastAsia"/>
              </w:rPr>
              <w:t>mm×730mm×1</w:t>
            </w:r>
            <w:r>
              <w:t>05</w:t>
            </w:r>
            <w:r>
              <w:rPr>
                <w:rFonts w:hint="eastAsia"/>
              </w:rPr>
              <w:t>0mm（长×宽×高）；通道尺寸：≥500mm×300mm（宽×高）</w:t>
            </w:r>
          </w:p>
          <w:p w14:paraId="766E431F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电源：220VAC(-15%~±10%)  50±3Hz；工作温度/湿度：5℃~40℃；10%至90%(在不凝结水滴状态下)；10%至90%(在不凝结水滴状态下)；功耗：≤0.5kVA；</w:t>
            </w:r>
            <w:r>
              <w:t xml:space="preserve"> </w:t>
            </w:r>
            <w:r>
              <w:rPr>
                <w:rFonts w:hint="eastAsia"/>
              </w:rPr>
              <w:t>传送带高度：≤6</w:t>
            </w:r>
            <w:r>
              <w:t>7</w:t>
            </w:r>
            <w:r>
              <w:rPr>
                <w:rFonts w:hint="eastAsia"/>
              </w:rPr>
              <w:t>0mm</w:t>
            </w:r>
          </w:p>
          <w:p w14:paraId="2B0591B2">
            <w:r>
              <w:t>3.</w:t>
            </w:r>
            <w:r>
              <w:rPr>
                <w:rFonts w:hint="eastAsia"/>
              </w:rPr>
              <w:t xml:space="preserve"> 设备噪声：设备正常工作时在距设备外表面1m的任意处，设备噪声应≤60dB(A)</w:t>
            </w:r>
          </w:p>
          <w:p w14:paraId="5D7A261D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外壳防护等级应符合GB/T 4208-2017的规定，不低于IP20的要求</w:t>
            </w:r>
          </w:p>
          <w:p w14:paraId="6748EDF5"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 线分辨力：设备在0.22m/s速度正常工作时，能够分辨最小单根实芯铜线直径Φ0.</w:t>
            </w:r>
            <w:r>
              <w:t>0787</w:t>
            </w:r>
            <w:r>
              <w:rPr>
                <w:rFonts w:hint="eastAsia"/>
              </w:rPr>
              <w:t>mm（AWG</w:t>
            </w:r>
            <w:r>
              <w:t>40</w:t>
            </w:r>
            <w:r>
              <w:rPr>
                <w:rFonts w:hint="eastAsia"/>
              </w:rPr>
              <w:t>）</w:t>
            </w:r>
          </w:p>
          <w:p w14:paraId="117AB61C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 穿透力：设备在0.22m/s速度正常工作时，能够穿透不小于</w:t>
            </w:r>
            <w:r>
              <w:t>20</w:t>
            </w:r>
            <w:r>
              <w:rPr>
                <w:rFonts w:hint="eastAsia"/>
              </w:rPr>
              <w:t>mm厚的钢板</w:t>
            </w:r>
          </w:p>
          <w:p w14:paraId="0C26D06B"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 图像回拉：设备可按图像生成顺序连续回调当前用户的历史过检图像，无图像数量限制</w:t>
            </w:r>
          </w:p>
          <w:p w14:paraId="2C227F6F"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 xml:space="preserve"> 泄漏电流：起防电击作用的电气绝缘应有良好的性能，连续对地泄漏电流和外壳泄漏电流应小于3mA。</w:t>
            </w:r>
          </w:p>
          <w:p w14:paraId="4B0CC679"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 xml:space="preserve"> 周围剂量当量率：设备在0.22m/s速度下正常工作时，在距设备的任何可达表面0.1m处（包括设备的入口、出口处）周围剂量当量率≤1μSv/h；工作人员位置的周围剂量当量率应≤0.5μSv/h</w:t>
            </w:r>
          </w:p>
          <w:p w14:paraId="6E9EBC32">
            <w:r>
              <w:t>10.</w:t>
            </w:r>
            <w:r>
              <w:rPr>
                <w:rFonts w:hint="eastAsia"/>
              </w:rPr>
              <w:t xml:space="preserve"> 超薄物体检测功能：当被测物过薄而无法遮挡光障时，人工按下操作键盘上的相应功能键，设备能检测出厚度0.01mm的标准塞尺（提供公安部的检测报告并加盖供应商公章）。</w:t>
            </w:r>
          </w:p>
          <w:p w14:paraId="39B3EDA0"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 xml:space="preserve"> 传送带承载能力：输送装置的负载能力应不低于260kg。</w:t>
            </w:r>
          </w:p>
          <w:p w14:paraId="640EF56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 xml:space="preserve"> 图像信噪比：X射线图像信噪比（SNR）大于等于</w:t>
            </w:r>
            <w:r>
              <w:t>41</w:t>
            </w:r>
            <w:r>
              <w:rPr>
                <w:rFonts w:hint="eastAsia"/>
              </w:rPr>
              <w:t>dB。（提供公安部的检测报告并加盖供应商公章）。</w:t>
            </w:r>
          </w:p>
          <w:p w14:paraId="0CA6E890"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 xml:space="preserve"> 人包关联与事件追溯功能：设备应能将旅客的放包和取包视频、抓拍的人脸和包裹照片与X射线透射图像进行关联存储，并可进行后续追溯查询回放（提供公安部的检测报告并加盖供应商公章）。</w:t>
            </w:r>
          </w:p>
          <w:p w14:paraId="527CBEF8">
            <w:r>
              <w:rPr>
                <w:rFonts w:hint="eastAsia"/>
              </w:rPr>
              <w:t>1</w:t>
            </w:r>
            <w:r>
              <w:t>4.</w:t>
            </w:r>
            <w:r>
              <w:rPr>
                <w:rFonts w:hint="eastAsia"/>
              </w:rPr>
              <w:t xml:space="preserve"> 用户登录功能：设备应具有用户注册、冻结、编辑和删除功能，同时具备密码录入、编辑和登录功能（提供公安部的检测报告并加盖供应商公章）。</w:t>
            </w:r>
          </w:p>
          <w:p w14:paraId="464648FD">
            <w:pPr>
              <w:rPr>
                <w:rFonts w:hint="eastAsia"/>
              </w:rPr>
            </w:pPr>
            <w:r>
              <w:t>15.</w:t>
            </w:r>
            <w:r>
              <w:rPr>
                <w:rFonts w:hint="eastAsia"/>
              </w:rPr>
              <w:t xml:space="preserve"> 智能识别灵敏度设置：设备对违禁品的智能识别灵敏度应可调节，调节档位可分为1-</w:t>
            </w:r>
            <w:r>
              <w:t>10</w:t>
            </w:r>
            <w:r>
              <w:rPr>
                <w:rFonts w:hint="eastAsia"/>
              </w:rPr>
              <w:t>档（提供公安部的检测报告并加盖供应商公章）。</w:t>
            </w:r>
          </w:p>
        </w:tc>
        <w:tc>
          <w:tcPr>
            <w:tcW w:w="853" w:type="dxa"/>
            <w:vAlign w:val="center"/>
          </w:tcPr>
          <w:p w14:paraId="04C21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3" w:type="dxa"/>
            <w:vAlign w:val="center"/>
          </w:tcPr>
          <w:p w14:paraId="2F867B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65" w:type="dxa"/>
            <w:vAlign w:val="center"/>
          </w:tcPr>
          <w:p w14:paraId="427084C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</w:tc>
        <w:tc>
          <w:tcPr>
            <w:tcW w:w="2275" w:type="dxa"/>
            <w:vAlign w:val="center"/>
          </w:tcPr>
          <w:p w14:paraId="4642A9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中心两院区进出口</w:t>
            </w:r>
          </w:p>
        </w:tc>
      </w:tr>
    </w:tbl>
    <w:p w14:paraId="4B9F3691">
      <w:pPr>
        <w:pStyle w:val="29"/>
        <w:kinsoku w:val="0"/>
        <w:overflowPunct w:val="0"/>
        <w:snapToGrid w:val="0"/>
        <w:spacing w:line="400" w:lineRule="exact"/>
        <w:ind w:firstLine="482" w:firstLineChars="200"/>
        <w:contextualSpacing/>
        <w:rPr>
          <w:rFonts w:ascii="仿宋_GB2312" w:hAnsi="Arial" w:eastAsia="仿宋_GB2312" w:cs="Times New Roman"/>
          <w:b/>
          <w:color w:val="auto"/>
        </w:rPr>
      </w:pPr>
      <w:r>
        <w:rPr>
          <w:rFonts w:hint="eastAsia" w:ascii="仿宋_GB2312" w:hAnsi="Arial" w:eastAsia="仿宋_GB2312" w:cs="Times New Roman"/>
          <w:b/>
          <w:color w:val="auto"/>
        </w:rPr>
        <w:t xml:space="preserve">二、服务范围、要求及标准 </w:t>
      </w:r>
    </w:p>
    <w:p w14:paraId="5827435F">
      <w:pPr>
        <w:pStyle w:val="29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交货日期：签订合同后30日内。</w:t>
      </w:r>
    </w:p>
    <w:p w14:paraId="421EACEB">
      <w:pPr>
        <w:pStyle w:val="29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交货地点：重庆市沙坪坝区黄桷湾2号（重庆市公共医疗救治中心平顶山院区）。</w:t>
      </w:r>
    </w:p>
    <w:p w14:paraId="303CEB54">
      <w:pPr>
        <w:pStyle w:val="29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重庆市沙坪坝区保育路109号（重庆市公共医疗救治中心歌乐山院区）</w:t>
      </w:r>
    </w:p>
    <w:p w14:paraId="0DE0E2AB">
      <w:pPr>
        <w:pStyle w:val="29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交货方式：卖方送货至买方现场。</w:t>
      </w:r>
    </w:p>
    <w:p w14:paraId="479CFFFA">
      <w:pPr>
        <w:pStyle w:val="29"/>
        <w:kinsoku w:val="0"/>
        <w:overflowPunct w:val="0"/>
        <w:snapToGrid w:val="0"/>
        <w:spacing w:line="400" w:lineRule="exact"/>
        <w:ind w:firstLine="482" w:firstLineChars="200"/>
        <w:contextualSpacing/>
        <w:rPr>
          <w:rFonts w:ascii="仿宋_GB2312" w:hAnsi="Arial" w:eastAsia="仿宋_GB2312" w:cs="Times New Roman"/>
          <w:b/>
          <w:color w:val="auto"/>
        </w:rPr>
      </w:pPr>
      <w:r>
        <w:rPr>
          <w:rFonts w:hint="eastAsia" w:ascii="仿宋_GB2312" w:hAnsi="Arial" w:eastAsia="仿宋_GB2312" w:cs="Times New Roman"/>
          <w:b/>
          <w:color w:val="auto"/>
        </w:rPr>
        <w:t>三、付款方式</w:t>
      </w:r>
    </w:p>
    <w:p w14:paraId="712D97DF">
      <w:pPr>
        <w:pStyle w:val="29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货到并更换使用正常及验收后，买方自收到卖方有效发票之日60天内转账支付。</w:t>
      </w:r>
    </w:p>
    <w:p w14:paraId="50A03F53">
      <w:pPr>
        <w:pStyle w:val="29"/>
        <w:kinsoku w:val="0"/>
        <w:overflowPunct w:val="0"/>
        <w:snapToGrid w:val="0"/>
        <w:spacing w:line="400" w:lineRule="exact"/>
        <w:ind w:firstLine="482" w:firstLineChars="200"/>
        <w:contextualSpacing/>
        <w:rPr>
          <w:rFonts w:ascii="仿宋_GB2312" w:hAnsi="Arial" w:eastAsia="仿宋_GB2312" w:cs="Times New Roman"/>
          <w:b/>
          <w:color w:val="auto"/>
        </w:rPr>
      </w:pPr>
      <w:r>
        <w:rPr>
          <w:rFonts w:hint="eastAsia" w:ascii="仿宋_GB2312" w:hAnsi="Arial" w:eastAsia="仿宋_GB2312" w:cs="Times New Roman"/>
          <w:b/>
          <w:color w:val="auto"/>
        </w:rPr>
        <w:t>四、保用期</w:t>
      </w:r>
    </w:p>
    <w:p w14:paraId="36D9F058">
      <w:pPr>
        <w:spacing w:line="400" w:lineRule="exact"/>
        <w:ind w:firstLine="48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货物的保用期为买方收到货物之日起不低于六个月。</w:t>
      </w:r>
    </w:p>
    <w:p w14:paraId="773DD4F0">
      <w:pPr>
        <w:pStyle w:val="29"/>
        <w:kinsoku w:val="0"/>
        <w:overflowPunct w:val="0"/>
        <w:snapToGrid w:val="0"/>
        <w:spacing w:line="400" w:lineRule="exact"/>
        <w:ind w:firstLine="482" w:firstLineChars="200"/>
        <w:contextualSpacing/>
        <w:rPr>
          <w:rFonts w:ascii="方正仿宋_GBK" w:hAnsi="方正仿宋_GBK" w:eastAsia="方正仿宋_GBK" w:cs="方正仿宋_GBK"/>
        </w:rPr>
      </w:pPr>
      <w:r>
        <w:rPr>
          <w:rFonts w:hint="eastAsia" w:ascii="仿宋_GB2312" w:hAnsi="Arial" w:eastAsia="仿宋_GB2312" w:cs="Times New Roman"/>
          <w:b/>
          <w:color w:val="auto"/>
        </w:rPr>
        <w:t>五、服务能力</w:t>
      </w:r>
    </w:p>
    <w:p w14:paraId="57197384">
      <w:pPr>
        <w:spacing w:line="400" w:lineRule="exact"/>
        <w:ind w:firstLine="48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由设备制造商约克空调专职售后工程师上门服务并提供质量保证。</w:t>
      </w:r>
    </w:p>
    <w:p w14:paraId="3E4D94BB">
      <w:pPr>
        <w:snapToGrid w:val="0"/>
        <w:spacing w:line="400" w:lineRule="exact"/>
        <w:ind w:firstLine="482" w:firstLineChars="200"/>
        <w:jc w:val="both"/>
        <w:rPr>
          <w:rFonts w:ascii="仿宋_GB2312" w:hAnsi="Arial" w:eastAsia="仿宋_GB2312"/>
          <w:b/>
          <w:kern w:val="0"/>
          <w:sz w:val="24"/>
        </w:rPr>
      </w:pPr>
      <w:r>
        <w:rPr>
          <w:rFonts w:hint="eastAsia" w:ascii="仿宋_GB2312" w:hAnsi="Arial" w:eastAsia="仿宋_GB2312"/>
          <w:b/>
          <w:kern w:val="0"/>
          <w:sz w:val="24"/>
        </w:rPr>
        <w:t>六、服务费</w:t>
      </w:r>
    </w:p>
    <w:p w14:paraId="77A2828E">
      <w:pPr>
        <w:spacing w:line="400" w:lineRule="exact"/>
        <w:ind w:firstLine="48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本次采购限价7万元。包含但不限于技术服务费、劳务费、检测费、调试费、环保处置费、质保期维护费、税费等全部费用。 </w:t>
      </w:r>
    </w:p>
    <w:sectPr>
      <w:pgSz w:w="11906" w:h="16838"/>
      <w:pgMar w:top="709" w:right="1286" w:bottom="993" w:left="14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NjViZTY0ZDIxNTZkM2ZkOThmZmJmY2M0NjFkY2QifQ=="/>
  </w:docVars>
  <w:rsids>
    <w:rsidRoot w:val="00B854AC"/>
    <w:rsid w:val="00064B6D"/>
    <w:rsid w:val="00113423"/>
    <w:rsid w:val="001C60BD"/>
    <w:rsid w:val="002231A5"/>
    <w:rsid w:val="00226334"/>
    <w:rsid w:val="00256FE1"/>
    <w:rsid w:val="002E125F"/>
    <w:rsid w:val="00351C2F"/>
    <w:rsid w:val="003943B3"/>
    <w:rsid w:val="003E4A80"/>
    <w:rsid w:val="003F2F5A"/>
    <w:rsid w:val="0041209A"/>
    <w:rsid w:val="00484112"/>
    <w:rsid w:val="004F5A20"/>
    <w:rsid w:val="00573646"/>
    <w:rsid w:val="005D0EE5"/>
    <w:rsid w:val="0061418B"/>
    <w:rsid w:val="00665FD6"/>
    <w:rsid w:val="00675DF4"/>
    <w:rsid w:val="00684612"/>
    <w:rsid w:val="0076452E"/>
    <w:rsid w:val="00793B04"/>
    <w:rsid w:val="007A340E"/>
    <w:rsid w:val="007A403C"/>
    <w:rsid w:val="007F2D49"/>
    <w:rsid w:val="00814DBF"/>
    <w:rsid w:val="008234EA"/>
    <w:rsid w:val="00865939"/>
    <w:rsid w:val="00910461"/>
    <w:rsid w:val="00A65266"/>
    <w:rsid w:val="00B201B6"/>
    <w:rsid w:val="00B83586"/>
    <w:rsid w:val="00B854AC"/>
    <w:rsid w:val="00BB4E42"/>
    <w:rsid w:val="00C66448"/>
    <w:rsid w:val="00CA03D4"/>
    <w:rsid w:val="00D10375"/>
    <w:rsid w:val="00E46D89"/>
    <w:rsid w:val="00FA133D"/>
    <w:rsid w:val="13BA1468"/>
    <w:rsid w:val="1F86643F"/>
    <w:rsid w:val="228C2DF9"/>
    <w:rsid w:val="48EB69DD"/>
    <w:rsid w:val="4B13484E"/>
    <w:rsid w:val="4C746723"/>
    <w:rsid w:val="5FA47239"/>
    <w:rsid w:val="713559D7"/>
    <w:rsid w:val="74E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20"/>
    <w:autoRedefine/>
    <w:qFormat/>
    <w:uiPriority w:val="0"/>
    <w:pPr>
      <w:keepNext/>
      <w:keepLines/>
      <w:spacing w:line="440" w:lineRule="exact"/>
      <w:outlineLvl w:val="1"/>
    </w:pPr>
    <w:rPr>
      <w:rFonts w:ascii="仿宋_GB2312" w:hAnsi="Arial" w:eastAsia="仿宋_GB2312"/>
      <w:b/>
      <w:sz w:val="24"/>
    </w:rPr>
  </w:style>
  <w:style w:type="paragraph" w:styleId="5">
    <w:name w:val="heading 3"/>
    <w:basedOn w:val="1"/>
    <w:next w:val="1"/>
    <w:link w:val="2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autoRedefine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7">
    <w:name w:val="Body Text Indent"/>
    <w:basedOn w:val="1"/>
    <w:link w:val="23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link w:val="26"/>
    <w:autoRedefine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4"/>
    <w:autoRedefine/>
    <w:qFormat/>
    <w:uiPriority w:val="0"/>
    <w:rPr>
      <w:sz w:val="28"/>
      <w:szCs w:val="20"/>
    </w:rPr>
  </w:style>
  <w:style w:type="paragraph" w:styleId="10">
    <w:name w:val="Body Text Indent 2"/>
    <w:basedOn w:val="1"/>
    <w:link w:val="25"/>
    <w:autoRedefine/>
    <w:qFormat/>
    <w:uiPriority w:val="0"/>
    <w:pPr>
      <w:snapToGrid w:val="0"/>
      <w:spacing w:line="560" w:lineRule="atLeast"/>
      <w:ind w:firstLine="540"/>
    </w:pPr>
    <w:rPr>
      <w:sz w:val="28"/>
      <w:szCs w:val="20"/>
    </w:rPr>
  </w:style>
  <w:style w:type="paragraph" w:styleId="11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  <w:pPr>
      <w:spacing w:line="180" w:lineRule="auto"/>
    </w:pPr>
    <w:rPr>
      <w:sz w:val="30"/>
      <w:szCs w:val="20"/>
    </w:rPr>
  </w:style>
  <w:style w:type="paragraph" w:styleId="14">
    <w:name w:val="Normal (Web)"/>
    <w:basedOn w:val="1"/>
    <w:autoRedefine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19">
    <w:name w:val="正文文本 字符"/>
    <w:basedOn w:val="16"/>
    <w:link w:val="2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标题 2 字符"/>
    <w:basedOn w:val="16"/>
    <w:link w:val="4"/>
    <w:autoRedefine/>
    <w:qFormat/>
    <w:uiPriority w:val="0"/>
    <w:rPr>
      <w:rFonts w:ascii="仿宋_GB2312" w:hAnsi="Arial" w:eastAsia="仿宋_GB2312"/>
      <w:b/>
      <w:kern w:val="2"/>
      <w:sz w:val="24"/>
      <w:szCs w:val="24"/>
    </w:rPr>
  </w:style>
  <w:style w:type="character" w:customStyle="1" w:styleId="21">
    <w:name w:val="标题 3 字符"/>
    <w:basedOn w:val="16"/>
    <w:link w:val="5"/>
    <w:autoRedefine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2">
    <w:name w:val="页眉 字符"/>
    <w:basedOn w:val="16"/>
    <w:link w:val="12"/>
    <w:autoRedefine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3">
    <w:name w:val="正文文本缩进 字符"/>
    <w:basedOn w:val="16"/>
    <w:link w:val="7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4">
    <w:name w:val="日期 字符"/>
    <w:basedOn w:val="16"/>
    <w:link w:val="9"/>
    <w:autoRedefine/>
    <w:qFormat/>
    <w:uiPriority w:val="0"/>
    <w:rPr>
      <w:rFonts w:ascii="Calibri" w:hAnsi="Calibri"/>
      <w:kern w:val="2"/>
      <w:sz w:val="28"/>
    </w:rPr>
  </w:style>
  <w:style w:type="character" w:customStyle="1" w:styleId="25">
    <w:name w:val="正文文本缩进 2 字符"/>
    <w:basedOn w:val="16"/>
    <w:link w:val="10"/>
    <w:autoRedefine/>
    <w:qFormat/>
    <w:uiPriority w:val="0"/>
    <w:rPr>
      <w:rFonts w:ascii="Calibri" w:hAnsi="Calibri"/>
      <w:kern w:val="2"/>
      <w:sz w:val="28"/>
    </w:rPr>
  </w:style>
  <w:style w:type="character" w:customStyle="1" w:styleId="26">
    <w:name w:val="纯文本 字符"/>
    <w:basedOn w:val="16"/>
    <w:link w:val="8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7">
    <w:name w:val="1"/>
    <w:basedOn w:val="1"/>
    <w:next w:val="8"/>
    <w:autoRedefine/>
    <w:qFormat/>
    <w:uiPriority w:val="0"/>
    <w:rPr>
      <w:rFonts w:ascii="宋体" w:hAnsi="Courier New"/>
      <w:szCs w:val="20"/>
    </w:rPr>
  </w:style>
  <w:style w:type="character" w:customStyle="1" w:styleId="28">
    <w:name w:val="标题 1 字符"/>
    <w:basedOn w:val="16"/>
    <w:link w:val="3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30">
    <w:name w:val="页脚 字符"/>
    <w:basedOn w:val="16"/>
    <w:link w:val="11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hik</Company>
  <Pages>3</Pages>
  <Words>1729</Words>
  <Characters>1933</Characters>
  <Lines>14</Lines>
  <Paragraphs>4</Paragraphs>
  <TotalTime>7</TotalTime>
  <ScaleCrop>false</ScaleCrop>
  <LinksUpToDate>false</LinksUpToDate>
  <CharactersWithSpaces>1966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2024-08-30T07:50:00Z</dcterms:created>
  <dc:creator>Windows 用户</dc:creator>
  <cp:lastModifiedBy>周伟</cp:lastModifiedBy>
  <dcterms:modified xsi:type="dcterms:W3CDTF">2024-08-30T08:27:27Z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D88A9EED77D946CAB24160BFDCC1E4F2_13</vt:lpwstr>
  </property>
</Properties>
</file>