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Microsoft YaHei UI" w:hAnsi="Microsoft YaHei UI" w:eastAsia="Microsoft YaHei UI" w:cs="Microsoft YaHei UI"/>
          <w:sz w:val="22"/>
          <w:szCs w:val="22"/>
        </w:rPr>
      </w:pPr>
      <w:r>
        <w:rPr>
          <w:rStyle w:val="8"/>
          <w:rFonts w:hint="eastAsia" w:ascii="宋体" w:hAnsi="宋体" w:cs="宋体"/>
          <w:bCs/>
          <w:szCs w:val="28"/>
        </w:rPr>
        <w:t>附件2</w:t>
      </w:r>
    </w:p>
    <w:p>
      <w:pPr>
        <w:pStyle w:val="3"/>
        <w:ind w:firstLine="3335" w:firstLineChars="692"/>
        <w:rPr>
          <w:rFonts w:hint="default"/>
        </w:rPr>
      </w:pPr>
      <w:r>
        <w:t>项目需求</w:t>
      </w:r>
    </w:p>
    <w:p>
      <w:pPr>
        <w:pStyle w:val="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kern w:val="0"/>
        </w:rPr>
        <w:t>项目一览表</w:t>
      </w:r>
    </w:p>
    <w:tbl>
      <w:tblPr>
        <w:tblStyle w:val="6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701"/>
        <w:gridCol w:w="853"/>
        <w:gridCol w:w="943"/>
        <w:gridCol w:w="127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r>
              <w:rPr>
                <w:rFonts w:hint="eastAsia"/>
              </w:rPr>
              <w:t>产品名称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hint="eastAsia"/>
              </w:rPr>
              <w:t>规格型号\编码</w:t>
            </w:r>
          </w:p>
        </w:tc>
        <w:tc>
          <w:tcPr>
            <w:tcW w:w="853" w:type="dxa"/>
            <w:vAlign w:val="center"/>
          </w:tcPr>
          <w:p>
            <w:r>
              <w:rPr>
                <w:rFonts w:hint="eastAsia"/>
              </w:rPr>
              <w:t>计量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943" w:type="dxa"/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r>
              <w:t>产地</w:t>
            </w:r>
          </w:p>
        </w:tc>
        <w:tc>
          <w:tcPr>
            <w:tcW w:w="2165" w:type="dxa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830" w:type="dxa"/>
            <w:vAlign w:val="center"/>
          </w:tcPr>
          <w:p>
            <w:r>
              <w:rPr>
                <w:rFonts w:hint="eastAsia"/>
              </w:rPr>
              <w:t>约克螺杆机组润滑油</w:t>
            </w:r>
          </w:p>
        </w:tc>
        <w:tc>
          <w:tcPr>
            <w:tcW w:w="1701" w:type="dxa"/>
            <w:vAlign w:val="center"/>
          </w:tcPr>
          <w:p>
            <w:r>
              <w:t>“S”冷冻</w:t>
            </w:r>
            <w:r>
              <w:rPr>
                <w:rFonts w:hint="eastAsia"/>
              </w:rPr>
              <w:t>油</w:t>
            </w:r>
          </w:p>
          <w:p>
            <w:r>
              <w:rPr>
                <w:rFonts w:hint="eastAsia"/>
              </w:rPr>
              <w:t>（5加仑/桶）</w:t>
            </w:r>
          </w:p>
        </w:tc>
        <w:tc>
          <w:tcPr>
            <w:tcW w:w="853" w:type="dxa"/>
            <w:vAlign w:val="center"/>
          </w:tcPr>
          <w:p>
            <w:r>
              <w:rPr>
                <w:rFonts w:hint="eastAsia"/>
              </w:rPr>
              <w:t>桶</w:t>
            </w:r>
          </w:p>
        </w:tc>
        <w:tc>
          <w:tcPr>
            <w:tcW w:w="943" w:type="dxa"/>
            <w:vAlign w:val="center"/>
          </w:tcPr>
          <w:p>
            <w:r>
              <w:t>7</w:t>
            </w:r>
          </w:p>
        </w:tc>
        <w:tc>
          <w:tcPr>
            <w:tcW w:w="127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美国</w:t>
            </w:r>
          </w:p>
        </w:tc>
        <w:tc>
          <w:tcPr>
            <w:tcW w:w="2165" w:type="dxa"/>
          </w:tcPr>
          <w:p>
            <w:pPr>
              <w:jc w:val="left"/>
            </w:pPr>
            <w:r>
              <w:rPr>
                <w:rFonts w:hint="eastAsia"/>
              </w:rPr>
              <w:t>适用于2台约克YS机组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提供原厂</w:t>
            </w:r>
            <w:r>
              <w:rPr>
                <w:rFonts w:hint="eastAsia"/>
                <w:lang w:val="en-US" w:eastAsia="zh-CN"/>
              </w:rPr>
              <w:t>海关</w:t>
            </w:r>
            <w:r>
              <w:rPr>
                <w:rFonts w:hint="eastAsia"/>
              </w:rPr>
              <w:t>报关证明，NFC芯片</w:t>
            </w:r>
            <w:r>
              <w:rPr>
                <w:rFonts w:hint="eastAsia"/>
                <w:lang w:val="en-US" w:eastAsia="zh-CN"/>
              </w:rPr>
              <w:t>溯源</w:t>
            </w:r>
            <w:r>
              <w:rPr>
                <w:rFonts w:hint="eastAsia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干燥过滤器大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72900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4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约克原厂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油过滤器芯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1477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4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约克原厂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干燥过滤器小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1475</w:t>
            </w:r>
          </w:p>
        </w:tc>
        <w:tc>
          <w:tcPr>
            <w:tcW w:w="853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943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中国</w:t>
            </w:r>
          </w:p>
        </w:tc>
        <w:tc>
          <w:tcPr>
            <w:tcW w:w="216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约克原厂</w:t>
            </w:r>
          </w:p>
        </w:tc>
      </w:tr>
    </w:tbl>
    <w:p>
      <w:pPr>
        <w:pStyle w:val="9"/>
        <w:kinsoku w:val="0"/>
        <w:overflowPunct w:val="0"/>
        <w:snapToGrid w:val="0"/>
        <w:spacing w:line="440" w:lineRule="exact"/>
        <w:ind w:firstLine="602" w:firstLineChars="214"/>
        <w:contextualSpacing/>
        <w:rPr>
          <w:rFonts w:hint="eastAsia" w:ascii="方正黑体_GBK" w:hAnsi="方正黑体_GBK" w:eastAsia="方正黑体_GBK" w:cs="方正黑体_GBK"/>
          <w:b/>
          <w:color w:val="auto"/>
          <w:kern w:val="2"/>
          <w:sz w:val="28"/>
          <w:szCs w:val="28"/>
        </w:rPr>
      </w:pPr>
    </w:p>
    <w:p>
      <w:pPr>
        <w:pStyle w:val="9"/>
        <w:kinsoku w:val="0"/>
        <w:overflowPunct w:val="0"/>
        <w:snapToGrid w:val="0"/>
        <w:spacing w:line="440" w:lineRule="exact"/>
        <w:ind w:firstLine="516" w:firstLineChars="214"/>
        <w:contextualSpacing/>
        <w:rPr>
          <w:rFonts w:hint="eastAsia"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 xml:space="preserve">二、服务范围、要求及标准 </w:t>
      </w:r>
    </w:p>
    <w:p>
      <w:pPr>
        <w:ind w:firstLine="1050" w:firstLineChars="500"/>
        <w:jc w:val="left"/>
        <w:rPr>
          <w:rFonts w:hAnsi="Arial"/>
        </w:rPr>
      </w:pPr>
      <w:r>
        <w:t>交货日期：签订合同</w:t>
      </w:r>
      <w:r>
        <w:rPr>
          <w:rFonts w:hint="eastAsia"/>
        </w:rPr>
        <w:t>后30</w:t>
      </w:r>
      <w:r>
        <w:t>日内。</w:t>
      </w:r>
    </w:p>
    <w:p>
      <w:pPr>
        <w:ind w:firstLine="1050" w:firstLineChars="500"/>
        <w:jc w:val="left"/>
      </w:pPr>
      <w:r>
        <w:t>交货地点：</w:t>
      </w:r>
      <w:r>
        <w:rPr>
          <w:rFonts w:hint="eastAsia"/>
        </w:rPr>
        <w:t>重庆市沙坪坝区黄桷湾2号（重庆市公共医疗救治中心平顶山院区）</w:t>
      </w:r>
      <w:r>
        <w:rPr>
          <w:rFonts w:hAnsi="宋体"/>
        </w:rPr>
        <w:t>。</w:t>
      </w:r>
    </w:p>
    <w:p>
      <w:pPr>
        <w:ind w:firstLine="1050" w:firstLineChars="500"/>
        <w:jc w:val="left"/>
      </w:pPr>
      <w:r>
        <w:t>交货方式：</w:t>
      </w:r>
      <w:r>
        <w:rPr>
          <w:rFonts w:hint="eastAsia"/>
        </w:rPr>
        <w:t>卖方</w:t>
      </w:r>
      <w:r>
        <w:t>送货至买方现场</w:t>
      </w:r>
      <w:r>
        <w:rPr>
          <w:rFonts w:hAnsi="宋体"/>
        </w:rPr>
        <w:t>。</w:t>
      </w:r>
    </w:p>
    <w:p>
      <w:pPr>
        <w:pStyle w:val="9"/>
        <w:kinsoku w:val="0"/>
        <w:overflowPunct w:val="0"/>
        <w:snapToGrid w:val="0"/>
        <w:spacing w:line="440" w:lineRule="exact"/>
        <w:ind w:firstLine="602" w:firstLineChars="214"/>
        <w:contextualSpacing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color w:val="auto"/>
          <w:kern w:val="2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 xml:space="preserve"> </w:t>
      </w:r>
    </w:p>
    <w:p>
      <w:pPr>
        <w:pStyle w:val="9"/>
        <w:kinsoku w:val="0"/>
        <w:overflowPunct w:val="0"/>
        <w:snapToGrid w:val="0"/>
        <w:spacing w:line="440" w:lineRule="exact"/>
        <w:ind w:firstLine="516" w:firstLineChars="214"/>
        <w:contextualSpacing/>
        <w:rPr>
          <w:rFonts w:hint="eastAsia"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>三、付款方式</w:t>
      </w:r>
    </w:p>
    <w:p>
      <w:pPr>
        <w:pStyle w:val="9"/>
        <w:kinsoku w:val="0"/>
        <w:overflowPunct w:val="0"/>
        <w:snapToGrid w:val="0"/>
        <w:spacing w:line="440" w:lineRule="exact"/>
        <w:ind w:firstLine="1073" w:firstLineChars="511"/>
        <w:contextualSpacing/>
        <w:rPr>
          <w:rFonts w:ascii="Calibri" w:eastAsia="宋体" w:cs="Times New Roman"/>
          <w:color w:val="auto"/>
          <w:kern w:val="2"/>
          <w:sz w:val="21"/>
        </w:rPr>
      </w:pPr>
      <w:r>
        <w:rPr>
          <w:rFonts w:hint="eastAsia" w:ascii="Calibri" w:eastAsia="宋体" w:cs="Times New Roman"/>
          <w:color w:val="auto"/>
          <w:kern w:val="2"/>
          <w:sz w:val="21"/>
        </w:rPr>
        <w:t>货到并更换使用正常及验收后，买方自收到卖方有效发票之日60天内转账支付。</w:t>
      </w:r>
    </w:p>
    <w:p>
      <w:pPr>
        <w:snapToGrid w:val="0"/>
        <w:ind w:firstLine="482" w:firstLineChars="200"/>
        <w:jc w:val="both"/>
        <w:rPr>
          <w:rFonts w:hint="eastAsia" w:ascii="仿宋_GB2312" w:hAnsi="Arial" w:eastAsia="仿宋_GB2312"/>
          <w:b/>
          <w:kern w:val="0"/>
          <w:sz w:val="24"/>
        </w:rPr>
      </w:pPr>
    </w:p>
    <w:p>
      <w:pPr>
        <w:snapToGrid w:val="0"/>
        <w:ind w:firstLine="482" w:firstLineChars="200"/>
        <w:jc w:val="both"/>
        <w:rPr>
          <w:rFonts w:ascii="仿宋_GB2312" w:hAnsi="Arial" w:eastAsia="仿宋_GB2312"/>
          <w:b/>
          <w:kern w:val="0"/>
          <w:sz w:val="24"/>
        </w:rPr>
      </w:pPr>
      <w:r>
        <w:rPr>
          <w:rFonts w:hint="eastAsia" w:ascii="仿宋_GB2312" w:hAnsi="Arial" w:eastAsia="仿宋_GB2312"/>
          <w:b/>
          <w:kern w:val="0"/>
          <w:sz w:val="24"/>
        </w:rPr>
        <w:t>四、</w:t>
      </w:r>
      <w:r>
        <w:rPr>
          <w:rFonts w:ascii="仿宋_GB2312" w:hAnsi="Arial" w:eastAsia="仿宋_GB2312"/>
          <w:b/>
          <w:kern w:val="0"/>
          <w:sz w:val="24"/>
        </w:rPr>
        <w:t>保用期</w:t>
      </w:r>
    </w:p>
    <w:p>
      <w:pPr>
        <w:pStyle w:val="9"/>
        <w:kinsoku w:val="0"/>
        <w:overflowPunct w:val="0"/>
        <w:snapToGrid w:val="0"/>
        <w:spacing w:line="440" w:lineRule="exact"/>
        <w:ind w:firstLine="910" w:firstLineChars="414"/>
        <w:contextualSpacing/>
        <w:rPr>
          <w:rFonts w:hint="eastAsia" w:ascii="Arial" w:hAnsi="宋体"/>
          <w:sz w:val="22"/>
        </w:rPr>
      </w:pPr>
      <w:r>
        <w:rPr>
          <w:rFonts w:ascii="Arial" w:hAnsi="宋体"/>
          <w:sz w:val="22"/>
        </w:rPr>
        <w:t>货物的保用期为</w:t>
      </w:r>
      <w:r>
        <w:rPr>
          <w:rFonts w:hint="eastAsia" w:ascii="Arial" w:hAnsi="宋体"/>
          <w:sz w:val="22"/>
        </w:rPr>
        <w:t>买方收到货物</w:t>
      </w:r>
      <w:r>
        <w:rPr>
          <w:rFonts w:ascii="Arial" w:hAnsi="宋体"/>
          <w:sz w:val="22"/>
        </w:rPr>
        <w:t>之日起不低于六个月。</w:t>
      </w:r>
    </w:p>
    <w:p>
      <w:pPr>
        <w:pStyle w:val="9"/>
        <w:kinsoku w:val="0"/>
        <w:overflowPunct w:val="0"/>
        <w:snapToGrid w:val="0"/>
        <w:spacing w:line="440" w:lineRule="exact"/>
        <w:ind w:firstLine="516" w:firstLineChars="214"/>
        <w:contextualSpacing/>
        <w:rPr>
          <w:rFonts w:hint="eastAsia" w:ascii="仿宋_GB2312" w:hAnsi="Arial" w:eastAsia="仿宋_GB2312" w:cs="Times New Roman"/>
          <w:b/>
          <w:color w:val="auto"/>
        </w:rPr>
      </w:pPr>
    </w:p>
    <w:p>
      <w:pPr>
        <w:pStyle w:val="9"/>
        <w:kinsoku w:val="0"/>
        <w:overflowPunct w:val="0"/>
        <w:snapToGrid w:val="0"/>
        <w:spacing w:line="440" w:lineRule="exact"/>
        <w:ind w:firstLine="516" w:firstLineChars="214"/>
        <w:contextualSpacing/>
        <w:rPr>
          <w:rFonts w:hint="eastAsia" w:ascii="仿宋_GB2312" w:hAnsi="Arial" w:eastAsia="仿宋_GB2312" w:cs="Times New Roman"/>
          <w:b/>
          <w:color w:val="auto"/>
        </w:rPr>
      </w:pPr>
      <w:r>
        <w:rPr>
          <w:rFonts w:hint="eastAsia" w:ascii="仿宋_GB2312" w:hAnsi="Arial" w:eastAsia="仿宋_GB2312" w:cs="Times New Roman"/>
          <w:b/>
          <w:color w:val="auto"/>
        </w:rPr>
        <w:t>五、服务能力</w:t>
      </w:r>
    </w:p>
    <w:p>
      <w:pPr>
        <w:pStyle w:val="9"/>
        <w:kinsoku w:val="0"/>
        <w:overflowPunct w:val="0"/>
        <w:snapToGrid w:val="0"/>
        <w:spacing w:line="440" w:lineRule="exact"/>
        <w:ind w:firstLine="602" w:firstLineChars="214"/>
        <w:contextualSpacing/>
        <w:rPr>
          <w:rFonts w:ascii="方正黑体_GBK" w:hAnsi="方正黑体_GBK" w:eastAsia="方正黑体_GBK" w:cs="方正黑体_GBK"/>
          <w:b/>
          <w:color w:val="auto"/>
          <w:kern w:val="2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color w:val="auto"/>
          <w:kern w:val="2"/>
          <w:sz w:val="28"/>
          <w:szCs w:val="28"/>
        </w:rPr>
        <w:t xml:space="preserve">  </w:t>
      </w:r>
      <w:r>
        <w:rPr>
          <w:rFonts w:hint="eastAsia" w:ascii="Arial" w:hAnsi="宋体"/>
          <w:sz w:val="22"/>
        </w:rPr>
        <w:t>由设备制造商约克空调专职售后工程师上门服务并提供质量保证。</w:t>
      </w:r>
    </w:p>
    <w:p>
      <w:pPr>
        <w:snapToGrid w:val="0"/>
        <w:ind w:firstLine="482" w:firstLineChars="200"/>
        <w:jc w:val="both"/>
        <w:rPr>
          <w:rFonts w:hint="eastAsia" w:ascii="仿宋_GB2312" w:hAnsi="Arial" w:eastAsia="仿宋_GB2312"/>
          <w:b/>
          <w:kern w:val="0"/>
          <w:sz w:val="24"/>
        </w:rPr>
      </w:pPr>
    </w:p>
    <w:p>
      <w:pPr>
        <w:snapToGrid w:val="0"/>
        <w:ind w:firstLine="482" w:firstLineChars="200"/>
        <w:jc w:val="both"/>
        <w:rPr>
          <w:rFonts w:ascii="仿宋_GB2312" w:hAnsi="Arial" w:eastAsia="仿宋_GB2312"/>
          <w:b/>
          <w:kern w:val="0"/>
          <w:sz w:val="24"/>
        </w:rPr>
      </w:pPr>
      <w:r>
        <w:rPr>
          <w:rFonts w:hint="eastAsia" w:ascii="仿宋_GB2312" w:hAnsi="Arial" w:eastAsia="仿宋_GB2312"/>
          <w:b/>
          <w:kern w:val="0"/>
          <w:sz w:val="24"/>
        </w:rPr>
        <w:t>六、服务费</w:t>
      </w:r>
    </w:p>
    <w:p>
      <w:pPr>
        <w:pStyle w:val="9"/>
        <w:tabs>
          <w:tab w:val="left" w:pos="709"/>
        </w:tabs>
        <w:kinsoku w:val="0"/>
        <w:overflowPunct w:val="0"/>
        <w:snapToGrid w:val="0"/>
        <w:spacing w:line="440" w:lineRule="exact"/>
        <w:ind w:firstLine="470" w:firstLineChars="214"/>
        <w:contextualSpacing/>
        <w:rPr>
          <w:rFonts w:ascii="Arial" w:hAnsi="宋体"/>
          <w:sz w:val="22"/>
        </w:rPr>
      </w:pPr>
      <w:r>
        <w:rPr>
          <w:rFonts w:hint="eastAsia" w:ascii="Arial" w:hAnsi="宋体"/>
          <w:sz w:val="22"/>
        </w:rPr>
        <w:t xml:space="preserve">本次服务限价9.38万元。包含但不限于技术服务费、劳务费、检测费、调试费、环保处置费、税费等全部费用。 </w:t>
      </w:r>
    </w:p>
    <w:p>
      <w:pPr>
        <w:pStyle w:val="9"/>
        <w:kinsoku w:val="0"/>
        <w:overflowPunct w:val="0"/>
        <w:snapToGrid w:val="0"/>
        <w:spacing w:line="440" w:lineRule="exact"/>
        <w:ind w:firstLine="645" w:firstLineChars="214"/>
        <w:contextualSpacing/>
        <w:rPr>
          <w:rFonts w:ascii="方正仿宋_GBK" w:hAnsi="方正仿宋_GBK" w:eastAsia="方正仿宋_GBK" w:cs="方正仿宋_GBK"/>
          <w:b/>
          <w:bCs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709" w:right="1286" w:bottom="993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1DD759FB"/>
    <w:rsid w:val="1DD7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40" w:lineRule="exact"/>
      <w:outlineLvl w:val="1"/>
    </w:pPr>
    <w:rPr>
      <w:rFonts w:ascii="仿宋_GB2312" w:hAnsi="Arial" w:eastAsia="仿宋_GB2312"/>
      <w:b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Normal (Web)"/>
    <w:basedOn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after="135" w:line="400" w:lineRule="exact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2024-07-17T05:57:00Z</dcterms:created>
  <dc:creator>Vina</dc:creator>
  <cp:lastModifiedBy>Vina</cp:lastModifiedBy>
  <dcterms:modified xsi:type="dcterms:W3CDTF">2024-07-17T05:59:30Z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571A17FC249A4F979D91C91A3606D0FE_11</vt:lpwstr>
  </property>
</Properties>
</file>