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rPr>
          <w:rFonts w:hint="eastAsia" w:ascii="Microsoft YaHei UI" w:hAnsi="Microsoft YaHei UI" w:eastAsia="Microsoft YaHei UI" w:cs="Microsoft YaHei UI"/>
          <w:sz w:val="22"/>
          <w:szCs w:val="22"/>
        </w:rPr>
      </w:pPr>
      <w:r>
        <w:rPr>
          <w:rStyle w:val="10"/>
          <w:rFonts w:hint="eastAsia" w:ascii="宋体" w:hAnsi="宋体" w:cs="宋体"/>
          <w:bCs/>
          <w:szCs w:val="28"/>
        </w:rPr>
        <w:t>附件2</w:t>
      </w:r>
    </w:p>
    <w:p>
      <w:pPr>
        <w:pStyle w:val="3"/>
        <w:tabs>
          <w:tab w:val="left" w:pos="3360"/>
        </w:tabs>
        <w:kinsoku w:val="0"/>
        <w:overflowPunct w:val="0"/>
        <w:autoSpaceDE w:val="0"/>
        <w:autoSpaceDN w:val="0"/>
        <w:snapToGrid w:val="0"/>
        <w:spacing w:before="0" w:after="0" w:line="40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重庆市公共卫生医疗救治中心南彭院区</w:t>
      </w:r>
    </w:p>
    <w:p>
      <w:pPr>
        <w:pStyle w:val="3"/>
        <w:tabs>
          <w:tab w:val="left" w:pos="3360"/>
        </w:tabs>
        <w:kinsoku w:val="0"/>
        <w:overflowPunct w:val="0"/>
        <w:autoSpaceDE w:val="0"/>
        <w:autoSpaceDN w:val="0"/>
        <w:snapToGrid w:val="0"/>
        <w:spacing w:before="0" w:after="0" w:line="40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环保管家一体化服务项目需求</w:t>
      </w:r>
    </w:p>
    <w:p>
      <w:pPr>
        <w:pStyle w:val="4"/>
        <w:spacing w:line="240" w:lineRule="auto"/>
        <w:ind w:firstLine="560" w:firstLineChars="200"/>
        <w:jc w:val="left"/>
        <w:rPr>
          <w:rFonts w:hint="eastAsia" w:ascii="方正黑体_GBK" w:hAnsi="方正黑体_GBK" w:eastAsia="方正黑体_GBK" w:cs="方正黑体_GBK"/>
          <w:b w:val="0"/>
          <w:sz w:val="28"/>
          <w:szCs w:val="28"/>
        </w:rPr>
      </w:pPr>
      <w:r>
        <w:rPr>
          <w:rFonts w:hint="eastAsia" w:ascii="方正黑体_GBK" w:hAnsi="方正黑体_GBK" w:eastAsia="方正黑体_GBK" w:cs="方正黑体_GBK"/>
          <w:b w:val="0"/>
          <w:sz w:val="28"/>
          <w:szCs w:val="28"/>
        </w:rPr>
        <w:t>一、</w:t>
      </w:r>
      <w:r>
        <w:rPr>
          <w:rFonts w:hint="eastAsia" w:ascii="方正黑体_GBK" w:hAnsi="方正黑体_GBK" w:eastAsia="方正黑体_GBK" w:cs="方正黑体_GBK"/>
          <w:b w:val="0"/>
          <w:bCs/>
          <w:color w:val="000000"/>
          <w:kern w:val="0"/>
          <w:sz w:val="30"/>
          <w:szCs w:val="30"/>
        </w:rPr>
        <w:t>项目一览表</w:t>
      </w:r>
    </w:p>
    <w:tbl>
      <w:tblPr>
        <w:tblStyle w:val="8"/>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9"/>
        <w:gridCol w:w="1417"/>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559" w:type="dxa"/>
            <w:vAlign w:val="center"/>
          </w:tcPr>
          <w:p>
            <w:pPr>
              <w:pStyle w:val="6"/>
              <w:jc w:val="center"/>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1417" w:type="dxa"/>
            <w:vAlign w:val="center"/>
          </w:tcPr>
          <w:p>
            <w:pPr>
              <w:pStyle w:val="6"/>
              <w:ind w:left="0" w:leftChars="0"/>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数量/单位</w:t>
            </w:r>
          </w:p>
        </w:tc>
        <w:tc>
          <w:tcPr>
            <w:tcW w:w="2522" w:type="dxa"/>
            <w:vAlign w:val="center"/>
          </w:tcPr>
          <w:p>
            <w:pPr>
              <w:pStyle w:val="6"/>
              <w:ind w:firstLine="480" w:firstLineChars="200"/>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559" w:type="dxa"/>
            <w:vAlign w:val="center"/>
          </w:tcPr>
          <w:p>
            <w:pPr>
              <w:pStyle w:val="5"/>
              <w:spacing w:line="240" w:lineRule="auto"/>
              <w:ind w:firstLine="0"/>
              <w:jc w:val="center"/>
              <w:outlineLvl w:val="0"/>
              <w:rPr>
                <w:rFonts w:hint="eastAsia" w:ascii="方正仿宋_GBK" w:hAnsi="方正仿宋_GBK" w:eastAsia="方正仿宋_GBK" w:cs="方正仿宋_GBK"/>
              </w:rPr>
            </w:pPr>
            <w:r>
              <w:rPr>
                <w:rFonts w:hint="eastAsia" w:ascii="方正仿宋_GBK" w:hAnsi="方正仿宋_GBK" w:eastAsia="方正仿宋_GBK" w:cs="方正仿宋_GBK"/>
              </w:rPr>
              <w:t>重庆市公共卫生医疗救治中心南彭院区</w:t>
            </w:r>
          </w:p>
          <w:p>
            <w:pPr>
              <w:pStyle w:val="5"/>
              <w:spacing w:line="240" w:lineRule="auto"/>
              <w:ind w:firstLine="0"/>
              <w:jc w:val="center"/>
              <w:outlineLvl w:val="0"/>
              <w:rPr>
                <w:rFonts w:hint="eastAsia" w:ascii="方正仿宋_GBK" w:hAnsi="方正仿宋_GBK" w:eastAsia="方正仿宋_GBK" w:cs="方正仿宋_GBK"/>
              </w:rPr>
            </w:pPr>
            <w:r>
              <w:rPr>
                <w:rFonts w:hint="eastAsia" w:ascii="方正仿宋_GBK" w:hAnsi="方正仿宋_GBK" w:eastAsia="方正仿宋_GBK" w:cs="方正仿宋_GBK"/>
              </w:rPr>
              <w:t>环保管家一体化服务项目</w:t>
            </w:r>
          </w:p>
        </w:tc>
        <w:tc>
          <w:tcPr>
            <w:tcW w:w="1417" w:type="dxa"/>
            <w:vAlign w:val="center"/>
          </w:tcPr>
          <w:p>
            <w:pPr>
              <w:pStyle w:val="6"/>
              <w:ind w:left="0" w:leftChars="0" w:firstLine="240" w:firstLineChars="100"/>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2年</w:t>
            </w:r>
          </w:p>
        </w:tc>
        <w:tc>
          <w:tcPr>
            <w:tcW w:w="2522" w:type="dxa"/>
            <w:vAlign w:val="center"/>
          </w:tcPr>
          <w:p>
            <w:pPr>
              <w:pStyle w:val="5"/>
              <w:spacing w:line="240" w:lineRule="auto"/>
              <w:ind w:firstLine="0"/>
              <w:jc w:val="center"/>
              <w:outlineLvl w:val="0"/>
              <w:rPr>
                <w:rFonts w:hint="eastAsia" w:ascii="方正仿宋_GBK" w:hAnsi="方正仿宋_GBK" w:eastAsia="方正仿宋_GBK" w:cs="方正仿宋_GBK"/>
              </w:rPr>
            </w:pPr>
            <w:r>
              <w:rPr>
                <w:rFonts w:ascii="方正仿宋_GBK" w:hAnsi="方正仿宋_GBK" w:eastAsia="方正仿宋_GBK" w:cs="方正仿宋_GBK"/>
                <w:kern w:val="0"/>
                <w:szCs w:val="21"/>
              </w:rPr>
              <w:t>项目地址：巴南区惠民街道</w:t>
            </w:r>
          </w:p>
        </w:tc>
      </w:tr>
    </w:tbl>
    <w:p>
      <w:pPr>
        <w:pStyle w:val="12"/>
        <w:kinsoku w:val="0"/>
        <w:overflowPunct w:val="0"/>
        <w:snapToGrid w:val="0"/>
        <w:spacing w:line="440" w:lineRule="exact"/>
        <w:ind w:firstLine="602" w:firstLineChars="214"/>
        <w:contextualSpacing/>
        <w:rPr>
          <w:rFonts w:hint="eastAsia" w:ascii="方正仿宋_GBK" w:hAnsi="方正仿宋_GBK" w:eastAsia="方正仿宋_GBK" w:cs="方正仿宋_GBK"/>
          <w:b/>
          <w:bCs/>
          <w:sz w:val="28"/>
          <w:szCs w:val="28"/>
        </w:rPr>
      </w:pPr>
      <w:r>
        <w:rPr>
          <w:rFonts w:hint="eastAsia" w:ascii="方正黑体_GBK" w:hAnsi="方正黑体_GBK" w:eastAsia="方正黑体_GBK" w:cs="方正黑体_GBK"/>
          <w:b/>
          <w:color w:val="auto"/>
          <w:kern w:val="2"/>
          <w:sz w:val="28"/>
          <w:szCs w:val="28"/>
        </w:rPr>
        <w:t xml:space="preserve">二、服务范围、要求及标准    </w:t>
      </w:r>
      <w:r>
        <w:rPr>
          <w:rFonts w:hint="eastAsia" w:ascii="方正仿宋_GBK" w:hAnsi="方正仿宋_GBK" w:eastAsia="方正仿宋_GBK" w:cs="方正仿宋_GBK"/>
          <w:b/>
          <w:bCs/>
          <w:sz w:val="28"/>
          <w:szCs w:val="28"/>
        </w:rPr>
        <w:t xml:space="preserve"> </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国家排污许可证管理办法》，自取得国家排污许可证之日起，必须按要求提交排污许可证执行报告，对期限内的排污情况进行汇总分析，对污染物排放达标情况进行评价，对污染物排放量进行核算，并将执行报告在国家排污许可证系统进行提交。</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根据国家环保的最新要求，企业排污实行企业自行监测，然后将自行检测的结果在“重庆市重点污染源监测数据发布平台V2.0”系统里进行信息公开。此项工作由各区县环保局的监测站负责监督实施，重庆市环保局定期进行检查。 </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此外，由于医院涉及环境风险管理，环保要求定期申报环境隐患排查并填报系统，并对环境风险项进行规范整改。</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行监测方案编制、排污数据整理分析、系统维护、委托现场采样监测、环境风险评估及应急预案编制、环境风险隐患排查、数据分析和公开发布等工作，均由潜在供应商提供一揽子“环保管家“的技术服务，相关工作由其专业环保专员负责完成。</w:t>
      </w:r>
    </w:p>
    <w:p>
      <w:pPr>
        <w:pStyle w:val="12"/>
        <w:kinsoku w:val="0"/>
        <w:overflowPunct w:val="0"/>
        <w:snapToGrid w:val="0"/>
        <w:spacing w:line="440" w:lineRule="exact"/>
        <w:ind w:firstLine="602" w:firstLineChars="214"/>
        <w:contextualSpacing/>
        <w:rPr>
          <w:rFonts w:hint="eastAsia" w:ascii="方正黑体_GBK" w:hAnsi="方正黑体_GBK" w:eastAsia="方正黑体_GBK" w:cs="方正黑体_GBK"/>
          <w:b/>
          <w:color w:val="auto"/>
          <w:kern w:val="2"/>
          <w:sz w:val="28"/>
          <w:szCs w:val="28"/>
        </w:rPr>
      </w:pPr>
      <w:r>
        <w:rPr>
          <w:rFonts w:hint="eastAsia" w:ascii="方正黑体_GBK" w:hAnsi="方正黑体_GBK" w:eastAsia="方正黑体_GBK" w:cs="方正黑体_GBK"/>
          <w:b/>
          <w:color w:val="auto"/>
          <w:kern w:val="2"/>
          <w:sz w:val="28"/>
          <w:szCs w:val="28"/>
        </w:rPr>
        <w:t>三、“环保管家”服务内容  项目服务需求</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（一）与排污许可证相关的工作</w:t>
      </w:r>
      <w:r>
        <w:rPr>
          <w:rFonts w:hint="eastAsia" w:ascii="方正仿宋_GBK" w:hAnsi="方正仿宋_GBK" w:eastAsia="方正仿宋_GBK" w:cs="方正仿宋_GBK"/>
          <w:b/>
          <w:bCs/>
          <w:sz w:val="28"/>
          <w:szCs w:val="28"/>
        </w:rPr>
        <w:t xml:space="preserve"> </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1、排污量的核算分析</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（1）根据用、排水量、排放浓度，核算废水污染物排放量。</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（2）根据核算无组织废气排放达标情况。</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（3）对污染物排放量进行达标分析。</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（4）对超标情况进行单独核算和分析，并提出针对性建议和改进措施。</w:t>
      </w:r>
    </w:p>
    <w:p>
      <w:pPr>
        <w:pStyle w:val="12"/>
        <w:kinsoku w:val="0"/>
        <w:overflowPunct w:val="0"/>
        <w:snapToGrid w:val="0"/>
        <w:spacing w:line="440" w:lineRule="exact"/>
        <w:ind w:firstLine="602"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2、台账系统及管理工作</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（1）根据医疗行业排污许可证管理规范要求，为甲方建立一套医院环保台账系统。</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（2）为甲方提供技术培训，每季度到医院现场指导、检查甲方开展台账记录和填报情况。</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（3）每季度到医院指导甲方开展台账和自行监测等资料的存档工作。</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（4）每季度对台账记录进行审查，针对填报的不符合项，指导甲方整改。</w:t>
      </w:r>
    </w:p>
    <w:p>
      <w:pPr>
        <w:pStyle w:val="12"/>
        <w:kinsoku w:val="0"/>
        <w:overflowPunct w:val="0"/>
        <w:snapToGrid w:val="0"/>
        <w:spacing w:line="440" w:lineRule="exact"/>
        <w:ind w:firstLine="602"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3、执行报告管理</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（1）根据要求，执行报告要求的相关数据和资料的收集整理。</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 做环保数据的达标分析、合规分析 </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（3） 编制年度执行报告，提交到国家排污许可证管理系统，并提交电子版给甲方供存档。 </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（4）排污许可证执行报告经环保部门审核后，经医院签字盖章交环保部门存档。</w:t>
      </w:r>
    </w:p>
    <w:p>
      <w:pPr>
        <w:pStyle w:val="12"/>
        <w:kinsoku w:val="0"/>
        <w:overflowPunct w:val="0"/>
        <w:snapToGrid w:val="0"/>
        <w:spacing w:line="440" w:lineRule="exact"/>
        <w:ind w:firstLine="602"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4、排污许可证系统管理及维护</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排污许可证系统日常信息维护管理。</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排污许可证的变更手续办理。</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（3）排污许可证的遗失补办手续。</w:t>
      </w:r>
    </w:p>
    <w:p>
      <w:pPr>
        <w:pStyle w:val="12"/>
        <w:kinsoku w:val="0"/>
        <w:overflowPunct w:val="0"/>
        <w:snapToGrid w:val="0"/>
        <w:spacing w:line="440" w:lineRule="exact"/>
        <w:ind w:firstLine="602"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5、培训及咨询管理</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（1）每年为企业提供不少于4课时的专题环保培训。</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（2）免费为企业提供电话技术咨询服务。</w:t>
      </w:r>
    </w:p>
    <w:p>
      <w:pPr>
        <w:pStyle w:val="12"/>
        <w:kinsoku w:val="0"/>
        <w:overflowPunct w:val="0"/>
        <w:snapToGrid w:val="0"/>
        <w:spacing w:line="440" w:lineRule="exact"/>
        <w:ind w:firstLine="602" w:firstLineChars="214"/>
        <w:contextualSpacing/>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（二）自行监测相关工作内容：</w:t>
      </w:r>
    </w:p>
    <w:p>
      <w:pPr>
        <w:pStyle w:val="12"/>
        <w:kinsoku w:val="0"/>
        <w:overflowPunct w:val="0"/>
        <w:snapToGrid w:val="0"/>
        <w:spacing w:line="440" w:lineRule="exact"/>
        <w:ind w:firstLine="602" w:firstLineChars="214"/>
        <w:contextualSpacing/>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1、自行监测系统建立、管理及维护 </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自行监测系统的更新、维护及管理工作。</w:t>
      </w:r>
    </w:p>
    <w:p>
      <w:pPr>
        <w:pStyle w:val="12"/>
        <w:kinsoku w:val="0"/>
        <w:overflowPunct w:val="0"/>
        <w:snapToGrid w:val="0"/>
        <w:spacing w:line="440" w:lineRule="exact"/>
        <w:ind w:firstLine="602" w:firstLineChars="214"/>
        <w:contextualSpacing/>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2、自行监测工作 </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按监测方案开展废水、废气的自行监测工作，出具正式监测报告。具体监测指标完全按照医院现持有的国家排污许可证自行监测指标要求。（以“全国排污许可证管理信息平台公开端”许可信息公开发布内容为准</w:t>
      </w:r>
      <w:r>
        <w:fldChar w:fldCharType="begin"/>
      </w:r>
      <w:r>
        <w:instrText xml:space="preserve"> HYPERLINK "https://permit.mee.gov.cn/perxxgkinfo/syssb/xkgg/xkgg!licenseInformation.action" </w:instrText>
      </w:r>
      <w:r>
        <w:fldChar w:fldCharType="separate"/>
      </w:r>
      <w:r>
        <w:rPr>
          <w:rStyle w:val="11"/>
          <w:rFonts w:hint="eastAsia" w:ascii="方正仿宋_GBK" w:hAnsi="方正仿宋_GBK" w:eastAsia="方正仿宋_GBK" w:cs="方正仿宋_GBK"/>
          <w:color w:val="auto"/>
          <w:szCs w:val="28"/>
        </w:rPr>
        <w:t>https://permit.mee.gov.cn/perxxgkinfo/syssb/xkgg/xkgg!licenseInformation.action</w:t>
      </w:r>
      <w:r>
        <w:rPr>
          <w:rStyle w:val="11"/>
          <w:rFonts w:hint="eastAsia" w:ascii="方正仿宋_GBK" w:hAnsi="方正仿宋_GBK" w:eastAsia="方正仿宋_GBK" w:cs="方正仿宋_GBK"/>
          <w:color w:val="auto"/>
          <w:szCs w:val="28"/>
        </w:rPr>
        <w:fldChar w:fldCharType="end"/>
      </w:r>
      <w:r>
        <w:rPr>
          <w:rFonts w:hint="eastAsia" w:ascii="方正仿宋_GBK" w:hAnsi="方正仿宋_GBK" w:eastAsia="方正仿宋_GBK" w:cs="方正仿宋_GBK"/>
          <w:color w:val="auto"/>
          <w:sz w:val="28"/>
          <w:szCs w:val="28"/>
        </w:rPr>
        <w:t>）</w:t>
      </w:r>
    </w:p>
    <w:p>
      <w:pPr>
        <w:pStyle w:val="12"/>
        <w:kinsoku w:val="0"/>
        <w:overflowPunct w:val="0"/>
        <w:snapToGrid w:val="0"/>
        <w:spacing w:line="440" w:lineRule="exact"/>
        <w:ind w:firstLine="602" w:firstLineChars="214"/>
        <w:contextualSpacing/>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3、自行监测结果系统输入管理 </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将监测结果在系统里输入、汇总、进行达标分析、提交到系统。 </w:t>
      </w:r>
    </w:p>
    <w:p>
      <w:pPr>
        <w:pStyle w:val="12"/>
        <w:kinsoku w:val="0"/>
        <w:overflowPunct w:val="0"/>
        <w:snapToGrid w:val="0"/>
        <w:spacing w:line="440" w:lineRule="exact"/>
        <w:contextualSpacing/>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根据需要，对系统的自行监测结果进行输出，交甲方存档。 </w:t>
      </w:r>
    </w:p>
    <w:p>
      <w:pPr>
        <w:pStyle w:val="12"/>
        <w:kinsoku w:val="0"/>
        <w:overflowPunct w:val="0"/>
        <w:snapToGrid w:val="0"/>
        <w:spacing w:line="440" w:lineRule="exact"/>
        <w:ind w:firstLine="602" w:firstLineChars="214"/>
        <w:contextualSpacing/>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 xml:space="preserve">5、编制自行检测报告及向环保局备案 </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根据环保要求，编制企业自行监测季度、年度总结报告，并在系统里提交。</w:t>
      </w:r>
    </w:p>
    <w:p>
      <w:pPr>
        <w:pStyle w:val="12"/>
        <w:numPr>
          <w:ilvl w:val="0"/>
          <w:numId w:val="1"/>
        </w:numPr>
        <w:kinsoku w:val="0"/>
        <w:overflowPunct w:val="0"/>
        <w:snapToGrid w:val="0"/>
        <w:spacing w:line="440" w:lineRule="exact"/>
        <w:ind w:firstLine="602" w:firstLineChars="214"/>
        <w:contextualSpacing/>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编制突发环境事件风险评估及应急预案，完成备案</w:t>
      </w:r>
    </w:p>
    <w:p>
      <w:pPr>
        <w:pStyle w:val="12"/>
        <w:numPr>
          <w:ilvl w:val="0"/>
          <w:numId w:val="2"/>
        </w:numPr>
        <w:kinsoku w:val="0"/>
        <w:overflowPunct w:val="0"/>
        <w:snapToGrid w:val="0"/>
        <w:spacing w:line="440" w:lineRule="exact"/>
        <w:ind w:firstLine="599" w:firstLineChars="214"/>
        <w:contextualSpacing/>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按相关法律法规，对医院涉及的环境风险物质进行识别、对风险单元进行划分、对存在的环境隐患进行排查、并对应急资源进行调查，编制完成《突发环境事件风险评估报告》，并结合现有风险防控措施及设施情况，编制《突发环境事件应急预案》及《一源一事一案》。</w:t>
      </w:r>
    </w:p>
    <w:p>
      <w:pPr>
        <w:pStyle w:val="12"/>
        <w:numPr>
          <w:ilvl w:val="0"/>
          <w:numId w:val="2"/>
        </w:numPr>
        <w:kinsoku w:val="0"/>
        <w:overflowPunct w:val="0"/>
        <w:snapToGrid w:val="0"/>
        <w:spacing w:line="440" w:lineRule="exact"/>
        <w:ind w:firstLine="599" w:firstLineChars="214"/>
        <w:contextualSpacing/>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按当地环保部门要求，组织专家对《突发环境事件风险评估报告》、《突发环境事件应急预案》及《一源一事一案》进行评审。</w:t>
      </w:r>
    </w:p>
    <w:p>
      <w:pPr>
        <w:pStyle w:val="12"/>
        <w:numPr>
          <w:ilvl w:val="0"/>
          <w:numId w:val="2"/>
        </w:numPr>
        <w:kinsoku w:val="0"/>
        <w:overflowPunct w:val="0"/>
        <w:snapToGrid w:val="0"/>
        <w:spacing w:line="440" w:lineRule="exact"/>
        <w:ind w:firstLine="599" w:firstLineChars="214"/>
        <w:contextualSpacing/>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将评审通过的风险评估报告及应急预案在“重庆市环境风险应急指挥系统”完成备案，并取得环保部门出具的备注回执证明。</w:t>
      </w:r>
    </w:p>
    <w:p>
      <w:pPr>
        <w:pStyle w:val="12"/>
        <w:kinsoku w:val="0"/>
        <w:overflowPunct w:val="0"/>
        <w:snapToGrid w:val="0"/>
        <w:spacing w:line="440" w:lineRule="exact"/>
        <w:ind w:firstLine="602" w:firstLineChars="214"/>
        <w:contextualSpacing/>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（四）环境风险隐患排查</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1、每季度开展一次环境隐患排查及整改，完成隐患排查记录。</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2、针对医院存在的“较大”或“重大”环境风险隐患，编制技术方案指导医院整改，并完成验收。</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3、每年指导医院开展一次突发环境应急演练。</w:t>
      </w:r>
    </w:p>
    <w:p>
      <w:pPr>
        <w:pStyle w:val="12"/>
        <w:kinsoku w:val="0"/>
        <w:overflowPunct w:val="0"/>
        <w:snapToGrid w:val="0"/>
        <w:spacing w:line="440" w:lineRule="exact"/>
        <w:ind w:firstLine="602" w:firstLineChars="214"/>
        <w:contextualSpacing/>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（五）环保档案规范管理</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根据需要，协助医院开展环保制度、环保档案及废水处理站突发环境事件应急预案的建立及完善等工作。</w:t>
      </w:r>
    </w:p>
    <w:p>
      <w:pPr>
        <w:pStyle w:val="12"/>
        <w:kinsoku w:val="0"/>
        <w:overflowPunct w:val="0"/>
        <w:snapToGrid w:val="0"/>
        <w:spacing w:line="440" w:lineRule="exact"/>
        <w:ind w:firstLine="602" w:firstLineChars="214"/>
        <w:contextualSpacing/>
        <w:rPr>
          <w:rFonts w:hint="eastAsia" w:ascii="方正黑体_GBK" w:hAnsi="方正黑体_GBK" w:eastAsia="方正黑体_GBK" w:cs="方正黑体_GBK"/>
          <w:b/>
          <w:color w:val="auto"/>
          <w:kern w:val="2"/>
          <w:sz w:val="28"/>
          <w:szCs w:val="28"/>
        </w:rPr>
      </w:pPr>
      <w:r>
        <w:rPr>
          <w:rFonts w:hint="eastAsia" w:ascii="方正黑体_GBK" w:hAnsi="方正黑体_GBK" w:eastAsia="方正黑体_GBK" w:cs="方正黑体_GBK"/>
          <w:b/>
          <w:color w:val="auto"/>
          <w:kern w:val="2"/>
          <w:sz w:val="28"/>
          <w:szCs w:val="28"/>
        </w:rPr>
        <w:t xml:space="preserve">四、 服务模式 </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一揽子“环保管家”的服务，系统维护、废水废气委托采样监测、监测数据分析和公开发布、环境风险评估及应急预案编制、环境风险隐患排查、建立环保台账、指导环境应急演练、与环保部门的对接工作等。</w:t>
      </w:r>
    </w:p>
    <w:p>
      <w:pPr>
        <w:pStyle w:val="12"/>
        <w:kinsoku w:val="0"/>
        <w:overflowPunct w:val="0"/>
        <w:snapToGrid w:val="0"/>
        <w:spacing w:line="440" w:lineRule="exact"/>
        <w:ind w:firstLine="602" w:firstLineChars="214"/>
        <w:contextualSpacing/>
        <w:rPr>
          <w:rFonts w:hint="eastAsia" w:ascii="方正黑体_GBK" w:hAnsi="方正黑体_GBK" w:eastAsia="方正黑体_GBK" w:cs="方正黑体_GBK"/>
          <w:b/>
          <w:color w:val="auto"/>
          <w:kern w:val="2"/>
          <w:sz w:val="28"/>
          <w:szCs w:val="28"/>
        </w:rPr>
      </w:pPr>
      <w:r>
        <w:rPr>
          <w:rFonts w:hint="eastAsia" w:ascii="方正黑体_GBK" w:hAnsi="方正黑体_GBK" w:eastAsia="方正黑体_GBK" w:cs="方正黑体_GBK"/>
          <w:b/>
          <w:color w:val="auto"/>
          <w:kern w:val="2"/>
          <w:sz w:val="28"/>
          <w:szCs w:val="28"/>
        </w:rPr>
        <w:t>五、服务能力</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1、环境专业高级及以上职称专业团队组成，重庆市环保系统专家库成员不少于2名。</w:t>
      </w:r>
    </w:p>
    <w:p>
      <w:pPr>
        <w:pStyle w:val="12"/>
        <w:kinsoku w:val="0"/>
        <w:overflowPunct w:val="0"/>
        <w:snapToGrid w:val="0"/>
        <w:spacing w:line="440" w:lineRule="exact"/>
        <w:ind w:firstLine="599" w:firstLineChars="214"/>
        <w:contextualSpacing/>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2、具有丰富的环保管家服务经验，不少于10家企业提供环保管家服务，其中医疗行业不少于3家。</w:t>
      </w:r>
    </w:p>
    <w:p>
      <w:pPr>
        <w:pStyle w:val="12"/>
        <w:kinsoku w:val="0"/>
        <w:overflowPunct w:val="0"/>
        <w:snapToGrid w:val="0"/>
        <w:spacing w:line="440" w:lineRule="exact"/>
        <w:ind w:firstLine="602" w:firstLineChars="214"/>
        <w:contextualSpacing/>
        <w:rPr>
          <w:rFonts w:hint="eastAsia" w:ascii="方正黑体_GBK" w:hAnsi="方正黑体_GBK" w:eastAsia="方正黑体_GBK" w:cs="方正黑体_GBK"/>
          <w:b/>
          <w:color w:val="auto"/>
          <w:kern w:val="2"/>
          <w:sz w:val="28"/>
          <w:szCs w:val="28"/>
        </w:rPr>
      </w:pPr>
      <w:r>
        <w:rPr>
          <w:rFonts w:hint="eastAsia" w:ascii="方正黑体_GBK" w:hAnsi="方正黑体_GBK" w:eastAsia="方正黑体_GBK" w:cs="方正黑体_GBK"/>
          <w:b/>
          <w:color w:val="auto"/>
          <w:kern w:val="2"/>
          <w:sz w:val="28"/>
          <w:szCs w:val="28"/>
        </w:rPr>
        <w:t>六、技术服务费</w:t>
      </w:r>
    </w:p>
    <w:p>
      <w:pPr>
        <w:pStyle w:val="12"/>
        <w:tabs>
          <w:tab w:val="left" w:pos="709"/>
        </w:tabs>
        <w:kinsoku w:val="0"/>
        <w:overflowPunct w:val="0"/>
        <w:snapToGrid w:val="0"/>
        <w:spacing w:line="440" w:lineRule="exact"/>
        <w:ind w:firstLine="599" w:firstLineChars="214"/>
        <w:contextualSpacing/>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28"/>
          <w:szCs w:val="28"/>
        </w:rPr>
        <w:t>1、年度技术服务费限价15万元，包含但不限于技术服务费、评审专家劳务费、分析检测费、税费等全部费用。</w:t>
      </w:r>
      <w:r>
        <w:rPr>
          <w:rFonts w:hint="eastAsia" w:ascii="方正仿宋_GBK" w:hAnsi="方正仿宋_GBK" w:eastAsia="方正仿宋_GBK" w:cs="方正仿宋_GBK"/>
          <w:bCs/>
          <w:sz w:val="30"/>
          <w:szCs w:val="30"/>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EAD77"/>
    <w:multiLevelType w:val="singleLevel"/>
    <w:tmpl w:val="F61EAD77"/>
    <w:lvl w:ilvl="0" w:tentative="0">
      <w:start w:val="1"/>
      <w:numFmt w:val="decimal"/>
      <w:suff w:val="nothing"/>
      <w:lvlText w:val="%1、"/>
      <w:lvlJc w:val="left"/>
    </w:lvl>
  </w:abstractNum>
  <w:abstractNum w:abstractNumId="1">
    <w:nsid w:val="2923E002"/>
    <w:multiLevelType w:val="singleLevel"/>
    <w:tmpl w:val="2923E00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OTU2ZDkxMGY3ZmZmMjdiMWFjYzMyMDBhZDE0YTcifQ=="/>
  </w:docVars>
  <w:rsids>
    <w:rsidRoot w:val="1CEA1FAF"/>
    <w:rsid w:val="1CEA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Indent"/>
    <w:basedOn w:val="1"/>
    <w:qFormat/>
    <w:uiPriority w:val="0"/>
    <w:pPr>
      <w:spacing w:after="120"/>
      <w:ind w:left="420" w:leftChars="200"/>
    </w:pPr>
  </w:style>
  <w:style w:type="paragraph" w:styleId="7">
    <w:name w:val="Normal (Web)"/>
    <w:basedOn w:val="1"/>
    <w:qFormat/>
    <w:uiPriority w:val="0"/>
    <w:pPr>
      <w:kinsoku w:val="0"/>
      <w:overflowPunct w:val="0"/>
      <w:autoSpaceDE w:val="0"/>
      <w:autoSpaceDN w:val="0"/>
      <w:adjustRightInd w:val="0"/>
      <w:snapToGrid w:val="0"/>
      <w:spacing w:after="135" w:line="400" w:lineRule="exact"/>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2024-07-16T08:24:00Z</dcterms:created>
  <dc:creator>Vina</dc:creator>
  <cp:lastModifiedBy>Vina</cp:lastModifiedBy>
  <dcterms:modified xsi:type="dcterms:W3CDTF">2024-07-16T08:25:45Z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3C7FE6F1198E4685B4AA6B5CDD044B89_11</vt:lpwstr>
  </property>
</Properties>
</file>